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 w:beforeLines="50" w:line="360" w:lineRule="auto"/>
        <w:jc w:val="left"/>
        <w:rPr>
          <w:rFonts w:ascii="黑体" w:hAnsi="黑体" w:eastAsia="黑体" w:cs="Times New Roman"/>
          <w:color w:val="000000"/>
          <w:sz w:val="28"/>
          <w:szCs w:val="32"/>
        </w:rPr>
      </w:pPr>
      <w:bookmarkStart w:id="0" w:name="_GoBack"/>
      <w:bookmarkEnd w:id="0"/>
      <w:r>
        <w:rPr>
          <w:rFonts w:hint="eastAsia" w:ascii="黑体" w:hAnsi="黑体" w:eastAsia="黑体" w:cs="Times New Roman"/>
          <w:color w:val="000000"/>
          <w:sz w:val="28"/>
          <w:szCs w:val="32"/>
        </w:rPr>
        <w:t>附件：</w:t>
      </w:r>
    </w:p>
    <w:p>
      <w:pPr>
        <w:jc w:val="center"/>
        <w:rPr>
          <w:rFonts w:ascii="黑体" w:hAnsi="黑体" w:eastAsia="黑体"/>
          <w:sz w:val="28"/>
        </w:rPr>
      </w:pPr>
      <w:r>
        <w:rPr>
          <w:rFonts w:hint="eastAsia" w:ascii="黑体" w:hAnsi="黑体" w:eastAsia="黑体"/>
          <w:sz w:val="28"/>
        </w:rPr>
        <w:t>调查单位名单（初拟）及问卷填写要求</w:t>
      </w:r>
    </w:p>
    <w:p/>
    <w:p>
      <w:pPr>
        <w:rPr>
          <w:rFonts w:ascii="黑体" w:hAnsi="黑体" w:eastAsia="黑体"/>
          <w:sz w:val="28"/>
        </w:rPr>
      </w:pPr>
      <w:r>
        <w:rPr>
          <w:rFonts w:hint="eastAsia" w:ascii="黑体" w:hAnsi="黑体" w:eastAsia="黑体"/>
          <w:sz w:val="28"/>
        </w:rPr>
        <w:t>一、高校名单（共15家）</w:t>
      </w:r>
    </w:p>
    <w:tbl>
      <w:tblPr>
        <w:tblStyle w:val="8"/>
        <w:tblW w:w="9781" w:type="dxa"/>
        <w:jc w:val="center"/>
        <w:tblInd w:w="0" w:type="dxa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2835"/>
        <w:gridCol w:w="3118"/>
        <w:gridCol w:w="3119"/>
      </w:tblGrid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709" w:type="dxa"/>
            <w:vMerge w:val="restart"/>
            <w:vAlign w:val="center"/>
          </w:tcPr>
          <w:p>
            <w:pPr>
              <w:jc w:val="center"/>
              <w:rPr>
                <w:rFonts w:ascii="仿宋_GB2312" w:eastAsia="仿宋_GB2312"/>
                <w:b/>
                <w:sz w:val="28"/>
              </w:rPr>
            </w:pPr>
            <w:r>
              <w:rPr>
                <w:rFonts w:hint="eastAsia" w:ascii="仿宋_GB2312" w:eastAsia="仿宋_GB2312"/>
                <w:b/>
                <w:sz w:val="28"/>
              </w:rPr>
              <w:t>序号</w:t>
            </w:r>
          </w:p>
        </w:tc>
        <w:tc>
          <w:tcPr>
            <w:tcW w:w="2835" w:type="dxa"/>
            <w:vMerge w:val="restart"/>
            <w:vAlign w:val="center"/>
          </w:tcPr>
          <w:p>
            <w:pPr>
              <w:jc w:val="center"/>
              <w:rPr>
                <w:rFonts w:ascii="仿宋_GB2312" w:eastAsia="仿宋_GB2312"/>
                <w:b/>
                <w:sz w:val="28"/>
              </w:rPr>
            </w:pPr>
            <w:r>
              <w:rPr>
                <w:rFonts w:hint="eastAsia" w:ascii="仿宋_GB2312" w:eastAsia="仿宋_GB2312"/>
                <w:b/>
                <w:sz w:val="28"/>
              </w:rPr>
              <w:t>单位</w:t>
            </w:r>
          </w:p>
        </w:tc>
        <w:tc>
          <w:tcPr>
            <w:tcW w:w="6237" w:type="dxa"/>
            <w:gridSpan w:val="2"/>
            <w:vAlign w:val="center"/>
          </w:tcPr>
          <w:p>
            <w:pPr>
              <w:jc w:val="center"/>
              <w:rPr>
                <w:rFonts w:ascii="仿宋_GB2312" w:eastAsia="仿宋_GB2312"/>
                <w:b/>
                <w:sz w:val="28"/>
              </w:rPr>
            </w:pPr>
            <w:r>
              <w:rPr>
                <w:rFonts w:hint="eastAsia" w:ascii="仿宋_GB2312" w:eastAsia="仿宋_GB2312"/>
                <w:b/>
                <w:sz w:val="28"/>
              </w:rPr>
              <w:t>问卷类型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709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/>
                <w:b/>
                <w:sz w:val="28"/>
              </w:rPr>
            </w:pPr>
          </w:p>
        </w:tc>
        <w:tc>
          <w:tcPr>
            <w:tcW w:w="2835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/>
                <w:b/>
                <w:sz w:val="28"/>
              </w:rPr>
            </w:pP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ascii="仿宋_GB2312" w:eastAsia="仿宋_GB2312"/>
                <w:b/>
                <w:sz w:val="28"/>
              </w:rPr>
            </w:pPr>
            <w:r>
              <w:rPr>
                <w:rFonts w:hint="eastAsia" w:ascii="仿宋_GB2312" w:eastAsia="仿宋_GB2312"/>
                <w:b/>
                <w:sz w:val="28"/>
              </w:rPr>
              <w:t>单位问卷</w:t>
            </w:r>
          </w:p>
        </w:tc>
        <w:tc>
          <w:tcPr>
            <w:tcW w:w="3119" w:type="dxa"/>
            <w:vAlign w:val="center"/>
          </w:tcPr>
          <w:p>
            <w:pPr>
              <w:jc w:val="center"/>
              <w:rPr>
                <w:rFonts w:ascii="仿宋_GB2312" w:eastAsia="仿宋_GB2312"/>
                <w:b/>
                <w:sz w:val="28"/>
              </w:rPr>
            </w:pPr>
            <w:r>
              <w:rPr>
                <w:rFonts w:hint="eastAsia" w:ascii="仿宋_GB2312" w:eastAsia="仿宋_GB2312"/>
                <w:b/>
                <w:sz w:val="28"/>
              </w:rPr>
              <w:t>个人问卷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709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1</w:t>
            </w: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浙江大学</w:t>
            </w:r>
          </w:p>
        </w:tc>
        <w:tc>
          <w:tcPr>
            <w:tcW w:w="3118" w:type="dxa"/>
            <w:vMerge w:val="restart"/>
            <w:vAlign w:val="center"/>
          </w:tcPr>
          <w:p>
            <w:pPr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（1）每所高校需填写1份单位问卷。</w:t>
            </w:r>
          </w:p>
          <w:p>
            <w:pPr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（</w:t>
            </w:r>
            <w:r>
              <w:rPr>
                <w:rFonts w:ascii="仿宋_GB2312" w:eastAsia="仿宋_GB2312"/>
                <w:sz w:val="28"/>
              </w:rPr>
              <w:t>2</w:t>
            </w:r>
            <w:r>
              <w:rPr>
                <w:rFonts w:hint="eastAsia" w:ascii="仿宋_GB2312" w:eastAsia="仿宋_GB2312"/>
                <w:sz w:val="28"/>
              </w:rPr>
              <w:t>）为确保问卷填写质量，建议由单位中负责科技成果转化的相关职能部门的负责人填写。</w:t>
            </w:r>
          </w:p>
        </w:tc>
        <w:tc>
          <w:tcPr>
            <w:tcW w:w="3119" w:type="dxa"/>
            <w:vMerge w:val="restart"/>
            <w:vAlign w:val="center"/>
          </w:tcPr>
          <w:p>
            <w:pPr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（1）每所高校需填写20份个人问卷。</w:t>
            </w:r>
          </w:p>
          <w:p>
            <w:pPr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（</w:t>
            </w:r>
            <w:r>
              <w:rPr>
                <w:rFonts w:ascii="仿宋_GB2312" w:eastAsia="仿宋_GB2312"/>
                <w:sz w:val="28"/>
              </w:rPr>
              <w:t>2</w:t>
            </w:r>
            <w:r>
              <w:rPr>
                <w:rFonts w:hint="eastAsia" w:ascii="仿宋_GB2312" w:eastAsia="仿宋_GB2312"/>
                <w:sz w:val="28"/>
              </w:rPr>
              <w:t>）个人问卷填写人员应包括：①已完成（或正在实施）某项科技成果转化或准备转化科技成果的科研人员（填写个人问卷A卷）和②没有任何科技成果转化经历的科研人员（填写个人问卷B卷）两种类型，其问卷填写数量各为</w:t>
            </w:r>
            <w:r>
              <w:rPr>
                <w:rFonts w:ascii="仿宋_GB2312" w:eastAsia="仿宋_GB2312"/>
                <w:sz w:val="28"/>
              </w:rPr>
              <w:t>10份。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709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2</w:t>
            </w: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浙江工业大学</w:t>
            </w:r>
          </w:p>
        </w:tc>
        <w:tc>
          <w:tcPr>
            <w:tcW w:w="3118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3119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709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3</w:t>
            </w: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浙江师范大学</w:t>
            </w:r>
          </w:p>
        </w:tc>
        <w:tc>
          <w:tcPr>
            <w:tcW w:w="3118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3119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709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4</w:t>
            </w: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宁波大学</w:t>
            </w:r>
          </w:p>
        </w:tc>
        <w:tc>
          <w:tcPr>
            <w:tcW w:w="3118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3119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709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5</w:t>
            </w: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浙江理工大学</w:t>
            </w:r>
          </w:p>
        </w:tc>
        <w:tc>
          <w:tcPr>
            <w:tcW w:w="3118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3119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709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6</w:t>
            </w: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杭州电子科技大学</w:t>
            </w:r>
          </w:p>
        </w:tc>
        <w:tc>
          <w:tcPr>
            <w:tcW w:w="3118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3119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709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7</w:t>
            </w: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浙江工商大学</w:t>
            </w:r>
          </w:p>
        </w:tc>
        <w:tc>
          <w:tcPr>
            <w:tcW w:w="3118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3119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709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8</w:t>
            </w: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中国计量学院</w:t>
            </w:r>
          </w:p>
        </w:tc>
        <w:tc>
          <w:tcPr>
            <w:tcW w:w="3118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3119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709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9</w:t>
            </w: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浙江中医药大学</w:t>
            </w:r>
          </w:p>
        </w:tc>
        <w:tc>
          <w:tcPr>
            <w:tcW w:w="3118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3119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709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10</w:t>
            </w: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浙江海洋学院</w:t>
            </w:r>
          </w:p>
        </w:tc>
        <w:tc>
          <w:tcPr>
            <w:tcW w:w="3118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3119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709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11</w:t>
            </w: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浙江农林大学</w:t>
            </w:r>
          </w:p>
        </w:tc>
        <w:tc>
          <w:tcPr>
            <w:tcW w:w="3118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3119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709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12</w:t>
            </w: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温州医学院</w:t>
            </w:r>
          </w:p>
        </w:tc>
        <w:tc>
          <w:tcPr>
            <w:tcW w:w="3118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3119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709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13</w:t>
            </w: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浙江财经学院</w:t>
            </w:r>
          </w:p>
        </w:tc>
        <w:tc>
          <w:tcPr>
            <w:tcW w:w="3118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3119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709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14</w:t>
            </w: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浙江科技学院</w:t>
            </w:r>
          </w:p>
        </w:tc>
        <w:tc>
          <w:tcPr>
            <w:tcW w:w="3118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3119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709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15</w:t>
            </w: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杭州师范大学</w:t>
            </w:r>
          </w:p>
        </w:tc>
        <w:tc>
          <w:tcPr>
            <w:tcW w:w="3118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3119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</w:p>
        </w:tc>
      </w:tr>
    </w:tbl>
    <w:p>
      <w:pPr>
        <w:rPr>
          <w:rFonts w:ascii="仿宋_GB2312" w:eastAsia="仿宋_GB2312"/>
          <w:sz w:val="28"/>
        </w:rPr>
      </w:pPr>
    </w:p>
    <w:p>
      <w:pPr>
        <w:rPr>
          <w:rFonts w:ascii="黑体" w:hAnsi="黑体" w:eastAsia="黑体"/>
          <w:sz w:val="28"/>
        </w:rPr>
      </w:pPr>
      <w:r>
        <w:rPr>
          <w:rFonts w:hint="eastAsia" w:ascii="黑体" w:hAnsi="黑体" w:eastAsia="黑体"/>
          <w:sz w:val="28"/>
        </w:rPr>
        <w:t>二、科研院所名单（共15家）</w:t>
      </w:r>
    </w:p>
    <w:tbl>
      <w:tblPr>
        <w:tblStyle w:val="8"/>
        <w:tblW w:w="9781" w:type="dxa"/>
        <w:tblInd w:w="-709" w:type="dxa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3969"/>
        <w:gridCol w:w="2551"/>
        <w:gridCol w:w="2552"/>
      </w:tblGrid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09" w:type="dxa"/>
            <w:vMerge w:val="restart"/>
            <w:vAlign w:val="center"/>
          </w:tcPr>
          <w:p>
            <w:pPr>
              <w:jc w:val="center"/>
              <w:rPr>
                <w:rFonts w:ascii="仿宋_GB2312" w:eastAsia="仿宋_GB2312"/>
                <w:b/>
                <w:sz w:val="28"/>
              </w:rPr>
            </w:pPr>
            <w:r>
              <w:rPr>
                <w:rFonts w:hint="eastAsia" w:ascii="仿宋_GB2312" w:eastAsia="仿宋_GB2312"/>
                <w:b/>
                <w:sz w:val="28"/>
              </w:rPr>
              <w:t>序号</w:t>
            </w:r>
          </w:p>
        </w:tc>
        <w:tc>
          <w:tcPr>
            <w:tcW w:w="3969" w:type="dxa"/>
            <w:vMerge w:val="restart"/>
            <w:vAlign w:val="center"/>
          </w:tcPr>
          <w:p>
            <w:pPr>
              <w:jc w:val="center"/>
              <w:rPr>
                <w:rFonts w:ascii="仿宋_GB2312" w:eastAsia="仿宋_GB2312"/>
                <w:b/>
                <w:sz w:val="28"/>
              </w:rPr>
            </w:pPr>
            <w:r>
              <w:rPr>
                <w:rFonts w:hint="eastAsia" w:ascii="仿宋_GB2312" w:eastAsia="仿宋_GB2312"/>
                <w:b/>
                <w:sz w:val="28"/>
              </w:rPr>
              <w:t>单  位</w:t>
            </w:r>
          </w:p>
        </w:tc>
        <w:tc>
          <w:tcPr>
            <w:tcW w:w="5103" w:type="dxa"/>
            <w:gridSpan w:val="2"/>
            <w:vAlign w:val="center"/>
          </w:tcPr>
          <w:p>
            <w:pPr>
              <w:jc w:val="center"/>
              <w:rPr>
                <w:rFonts w:ascii="仿宋_GB2312" w:eastAsia="仿宋_GB2312"/>
                <w:b/>
                <w:sz w:val="28"/>
              </w:rPr>
            </w:pPr>
            <w:r>
              <w:rPr>
                <w:rFonts w:hint="eastAsia" w:ascii="仿宋_GB2312" w:eastAsia="仿宋_GB2312"/>
                <w:b/>
                <w:sz w:val="28"/>
              </w:rPr>
              <w:t>问卷类型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09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/>
                <w:b/>
                <w:sz w:val="28"/>
              </w:rPr>
            </w:pPr>
          </w:p>
        </w:tc>
        <w:tc>
          <w:tcPr>
            <w:tcW w:w="3969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/>
                <w:b/>
                <w:sz w:val="28"/>
              </w:rPr>
            </w:pPr>
          </w:p>
        </w:tc>
        <w:tc>
          <w:tcPr>
            <w:tcW w:w="2551" w:type="dxa"/>
            <w:vAlign w:val="center"/>
          </w:tcPr>
          <w:p>
            <w:pPr>
              <w:jc w:val="center"/>
              <w:rPr>
                <w:rFonts w:ascii="仿宋_GB2312" w:eastAsia="仿宋_GB2312"/>
                <w:b/>
                <w:sz w:val="28"/>
              </w:rPr>
            </w:pPr>
            <w:r>
              <w:rPr>
                <w:rFonts w:hint="eastAsia" w:ascii="仿宋_GB2312" w:eastAsia="仿宋_GB2312"/>
                <w:b/>
                <w:sz w:val="28"/>
              </w:rPr>
              <w:t>单位问卷</w:t>
            </w:r>
          </w:p>
        </w:tc>
        <w:tc>
          <w:tcPr>
            <w:tcW w:w="2552" w:type="dxa"/>
            <w:vAlign w:val="center"/>
          </w:tcPr>
          <w:p>
            <w:pPr>
              <w:jc w:val="center"/>
              <w:rPr>
                <w:rFonts w:ascii="仿宋_GB2312" w:eastAsia="仿宋_GB2312"/>
                <w:b/>
                <w:sz w:val="28"/>
              </w:rPr>
            </w:pPr>
            <w:r>
              <w:rPr>
                <w:rFonts w:hint="eastAsia" w:ascii="仿宋_GB2312" w:eastAsia="仿宋_GB2312"/>
                <w:b/>
                <w:sz w:val="28"/>
              </w:rPr>
              <w:t>个人问卷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09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1</w:t>
            </w:r>
          </w:p>
        </w:tc>
        <w:tc>
          <w:tcPr>
            <w:tcW w:w="3969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浙江省医疗器械研究所</w:t>
            </w:r>
          </w:p>
        </w:tc>
        <w:tc>
          <w:tcPr>
            <w:tcW w:w="2551" w:type="dxa"/>
            <w:vMerge w:val="restart"/>
            <w:vAlign w:val="center"/>
          </w:tcPr>
          <w:p>
            <w:pPr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（</w:t>
            </w:r>
            <w:r>
              <w:rPr>
                <w:rFonts w:ascii="仿宋_GB2312" w:eastAsia="仿宋_GB2312"/>
                <w:sz w:val="28"/>
              </w:rPr>
              <w:t>1）每</w:t>
            </w:r>
            <w:r>
              <w:rPr>
                <w:rFonts w:hint="eastAsia" w:ascii="仿宋_GB2312" w:eastAsia="仿宋_GB2312"/>
                <w:sz w:val="28"/>
              </w:rPr>
              <w:t>个单位</w:t>
            </w:r>
            <w:r>
              <w:rPr>
                <w:rFonts w:ascii="仿宋_GB2312" w:eastAsia="仿宋_GB2312"/>
                <w:sz w:val="28"/>
              </w:rPr>
              <w:t>需填写1份单位问卷。</w:t>
            </w:r>
          </w:p>
          <w:p>
            <w:pPr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（</w:t>
            </w:r>
            <w:r>
              <w:rPr>
                <w:rFonts w:ascii="仿宋_GB2312" w:eastAsia="仿宋_GB2312"/>
                <w:sz w:val="28"/>
              </w:rPr>
              <w:t>2）为确保问卷填写质量，建议由单位中负责科技成果转化的相关职能部门的负责人填写。</w:t>
            </w:r>
          </w:p>
        </w:tc>
        <w:tc>
          <w:tcPr>
            <w:tcW w:w="2552" w:type="dxa"/>
            <w:vMerge w:val="restart"/>
            <w:vAlign w:val="center"/>
          </w:tcPr>
          <w:p>
            <w:pPr>
              <w:adjustRightInd w:val="0"/>
              <w:snapToGrid w:val="0"/>
              <w:spacing w:line="300" w:lineRule="auto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（</w:t>
            </w:r>
            <w:r>
              <w:rPr>
                <w:rFonts w:ascii="仿宋_GB2312" w:eastAsia="仿宋_GB2312"/>
                <w:sz w:val="28"/>
              </w:rPr>
              <w:t>1）每</w:t>
            </w:r>
            <w:r>
              <w:rPr>
                <w:rFonts w:hint="eastAsia" w:ascii="仿宋_GB2312" w:eastAsia="仿宋_GB2312"/>
                <w:sz w:val="28"/>
              </w:rPr>
              <w:t>个单位</w:t>
            </w:r>
            <w:r>
              <w:rPr>
                <w:rFonts w:ascii="仿宋_GB2312" w:eastAsia="仿宋_GB2312"/>
                <w:sz w:val="28"/>
              </w:rPr>
              <w:t>需填写个人问卷</w:t>
            </w:r>
            <w:r>
              <w:rPr>
                <w:rFonts w:hint="eastAsia" w:ascii="仿宋_GB2312" w:eastAsia="仿宋_GB2312"/>
                <w:sz w:val="28"/>
              </w:rPr>
              <w:t>的数量分为两种情况：单位员工数大于等于100人的需填写20份；小于100人的需填写10份</w:t>
            </w:r>
            <w:r>
              <w:rPr>
                <w:rFonts w:ascii="仿宋_GB2312" w:eastAsia="仿宋_GB2312"/>
                <w:sz w:val="28"/>
              </w:rPr>
              <w:t>。</w:t>
            </w:r>
          </w:p>
          <w:p>
            <w:pPr>
              <w:adjustRightInd w:val="0"/>
              <w:snapToGrid w:val="0"/>
              <w:spacing w:line="300" w:lineRule="auto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（</w:t>
            </w:r>
            <w:r>
              <w:rPr>
                <w:rFonts w:ascii="仿宋_GB2312" w:eastAsia="仿宋_GB2312"/>
                <w:sz w:val="28"/>
              </w:rPr>
              <w:t>2）个人问卷填写人员应包括：</w:t>
            </w:r>
            <w:r>
              <w:rPr>
                <w:rFonts w:hint="eastAsia" w:ascii="仿宋_GB2312" w:eastAsia="仿宋_GB2312"/>
                <w:sz w:val="28"/>
              </w:rPr>
              <w:t>①</w:t>
            </w:r>
            <w:r>
              <w:rPr>
                <w:rFonts w:ascii="仿宋_GB2312" w:eastAsia="仿宋_GB2312"/>
                <w:sz w:val="28"/>
              </w:rPr>
              <w:t>已完成（或正在实施）某项科技成果转化或准备转化科技成果的科研人员</w:t>
            </w:r>
            <w:r>
              <w:rPr>
                <w:rFonts w:hint="eastAsia" w:ascii="仿宋_GB2312" w:eastAsia="仿宋_GB2312"/>
                <w:sz w:val="28"/>
              </w:rPr>
              <w:t>（填写个人问卷A卷）</w:t>
            </w:r>
            <w:r>
              <w:rPr>
                <w:rFonts w:ascii="仿宋_GB2312" w:eastAsia="仿宋_GB2312"/>
                <w:sz w:val="28"/>
              </w:rPr>
              <w:t>和</w:t>
            </w:r>
            <w:r>
              <w:rPr>
                <w:rFonts w:hint="eastAsia" w:ascii="仿宋_GB2312" w:eastAsia="仿宋_GB2312"/>
                <w:sz w:val="28"/>
              </w:rPr>
              <w:t>②</w:t>
            </w:r>
            <w:r>
              <w:rPr>
                <w:rFonts w:ascii="仿宋_GB2312" w:eastAsia="仿宋_GB2312"/>
                <w:sz w:val="28"/>
              </w:rPr>
              <w:t>没有任何科技成果转化经历的科研人员</w:t>
            </w:r>
            <w:r>
              <w:rPr>
                <w:rFonts w:hint="eastAsia" w:ascii="仿宋_GB2312" w:eastAsia="仿宋_GB2312"/>
                <w:sz w:val="28"/>
              </w:rPr>
              <w:t>（填写个人问卷B卷）</w:t>
            </w:r>
            <w:r>
              <w:rPr>
                <w:rFonts w:ascii="仿宋_GB2312" w:eastAsia="仿宋_GB2312"/>
                <w:sz w:val="28"/>
              </w:rPr>
              <w:t>两种类型，其问卷填写数量各为</w:t>
            </w:r>
            <w:r>
              <w:rPr>
                <w:rFonts w:hint="eastAsia" w:ascii="仿宋_GB2312" w:eastAsia="仿宋_GB2312"/>
                <w:sz w:val="28"/>
              </w:rPr>
              <w:t>一半</w:t>
            </w:r>
            <w:r>
              <w:rPr>
                <w:rFonts w:ascii="仿宋_GB2312" w:eastAsia="仿宋_GB2312"/>
                <w:sz w:val="28"/>
              </w:rPr>
              <w:t>。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09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2</w:t>
            </w:r>
          </w:p>
        </w:tc>
        <w:tc>
          <w:tcPr>
            <w:tcW w:w="3969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国家海洋局第二海洋研究所</w:t>
            </w:r>
          </w:p>
        </w:tc>
        <w:tc>
          <w:tcPr>
            <w:tcW w:w="2551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2552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09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3</w:t>
            </w:r>
          </w:p>
        </w:tc>
        <w:tc>
          <w:tcPr>
            <w:tcW w:w="3969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浙江省中药研究所</w:t>
            </w:r>
          </w:p>
        </w:tc>
        <w:tc>
          <w:tcPr>
            <w:tcW w:w="2551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2552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09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4</w:t>
            </w:r>
          </w:p>
        </w:tc>
        <w:tc>
          <w:tcPr>
            <w:tcW w:w="3969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华电电力科学研究院</w:t>
            </w:r>
          </w:p>
        </w:tc>
        <w:tc>
          <w:tcPr>
            <w:tcW w:w="2551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2552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09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5</w:t>
            </w:r>
          </w:p>
        </w:tc>
        <w:tc>
          <w:tcPr>
            <w:tcW w:w="3969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轻工业自动化研究所</w:t>
            </w:r>
          </w:p>
        </w:tc>
        <w:tc>
          <w:tcPr>
            <w:tcW w:w="2551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2552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09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6</w:t>
            </w:r>
          </w:p>
        </w:tc>
        <w:tc>
          <w:tcPr>
            <w:tcW w:w="3969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浙江清华长三角研究院</w:t>
            </w:r>
          </w:p>
        </w:tc>
        <w:tc>
          <w:tcPr>
            <w:tcW w:w="2551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2552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09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7</w:t>
            </w:r>
          </w:p>
        </w:tc>
        <w:tc>
          <w:tcPr>
            <w:tcW w:w="3969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中国科学院宁波材料技术与工程研究所</w:t>
            </w:r>
          </w:p>
        </w:tc>
        <w:tc>
          <w:tcPr>
            <w:tcW w:w="2551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2552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09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8</w:t>
            </w:r>
          </w:p>
        </w:tc>
        <w:tc>
          <w:tcPr>
            <w:tcW w:w="3969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w w:val="92"/>
                <w:kern w:val="0"/>
                <w:sz w:val="28"/>
                <w:fitText w:val="3640" w:id="0"/>
              </w:rPr>
              <w:t>浙江省能源与核技术应用研究</w:t>
            </w:r>
            <w:r>
              <w:rPr>
                <w:rFonts w:hint="eastAsia" w:ascii="仿宋_GB2312" w:eastAsia="仿宋_GB2312"/>
                <w:spacing w:val="28"/>
                <w:w w:val="92"/>
                <w:kern w:val="0"/>
                <w:sz w:val="28"/>
                <w:fitText w:val="3640" w:id="0"/>
              </w:rPr>
              <w:t>院</w:t>
            </w:r>
          </w:p>
        </w:tc>
        <w:tc>
          <w:tcPr>
            <w:tcW w:w="2551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2552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09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9</w:t>
            </w:r>
          </w:p>
        </w:tc>
        <w:tc>
          <w:tcPr>
            <w:tcW w:w="3969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浙江省农业科学院</w:t>
            </w:r>
          </w:p>
        </w:tc>
        <w:tc>
          <w:tcPr>
            <w:tcW w:w="2551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2552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09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10</w:t>
            </w:r>
          </w:p>
        </w:tc>
        <w:tc>
          <w:tcPr>
            <w:tcW w:w="3969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浙江省</w:t>
            </w:r>
            <w:r>
              <w:rPr>
                <w:rFonts w:hint="eastAsia" w:ascii="仿宋_GB2312" w:eastAsia="仿宋_GB2312"/>
                <w:sz w:val="28"/>
                <w:lang w:eastAsia="zh-CN"/>
              </w:rPr>
              <w:t>科技信息</w:t>
            </w:r>
            <w:r>
              <w:rPr>
                <w:rFonts w:hint="eastAsia" w:ascii="仿宋_GB2312" w:eastAsia="仿宋_GB2312"/>
                <w:sz w:val="28"/>
              </w:rPr>
              <w:t>研究</w:t>
            </w:r>
            <w:r>
              <w:rPr>
                <w:rFonts w:hint="eastAsia" w:ascii="仿宋_GB2312" w:eastAsia="仿宋_GB2312"/>
                <w:sz w:val="28"/>
                <w:lang w:eastAsia="zh-CN"/>
              </w:rPr>
              <w:t>院</w:t>
            </w:r>
          </w:p>
        </w:tc>
        <w:tc>
          <w:tcPr>
            <w:tcW w:w="2551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2552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09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11</w:t>
            </w:r>
          </w:p>
        </w:tc>
        <w:tc>
          <w:tcPr>
            <w:tcW w:w="3969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浙江省电子技术研究所</w:t>
            </w:r>
          </w:p>
        </w:tc>
        <w:tc>
          <w:tcPr>
            <w:tcW w:w="2551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2552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09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12</w:t>
            </w:r>
          </w:p>
        </w:tc>
        <w:tc>
          <w:tcPr>
            <w:tcW w:w="3969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浙江化工科技集团有限公司</w:t>
            </w:r>
          </w:p>
          <w:p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（省化工院）</w:t>
            </w:r>
          </w:p>
        </w:tc>
        <w:tc>
          <w:tcPr>
            <w:tcW w:w="2551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2552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09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13</w:t>
            </w:r>
          </w:p>
        </w:tc>
        <w:tc>
          <w:tcPr>
            <w:tcW w:w="3969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w w:val="85"/>
                <w:kern w:val="0"/>
                <w:sz w:val="28"/>
                <w:fitText w:val="3360" w:id="1"/>
              </w:rPr>
              <w:t>浙江省机电设计研究院有限公</w:t>
            </w:r>
            <w:r>
              <w:rPr>
                <w:rFonts w:hint="eastAsia" w:ascii="仿宋_GB2312" w:eastAsia="仿宋_GB2312"/>
                <w:spacing w:val="14"/>
                <w:w w:val="85"/>
                <w:kern w:val="0"/>
                <w:sz w:val="28"/>
                <w:fitText w:val="3360" w:id="1"/>
              </w:rPr>
              <w:t>司</w:t>
            </w:r>
          </w:p>
        </w:tc>
        <w:tc>
          <w:tcPr>
            <w:tcW w:w="2551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2552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09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14</w:t>
            </w:r>
          </w:p>
        </w:tc>
        <w:tc>
          <w:tcPr>
            <w:tcW w:w="3969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浙江省中医药研究院</w:t>
            </w:r>
          </w:p>
        </w:tc>
        <w:tc>
          <w:tcPr>
            <w:tcW w:w="2551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2552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09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15</w:t>
            </w:r>
          </w:p>
        </w:tc>
        <w:tc>
          <w:tcPr>
            <w:tcW w:w="3969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浙江省医学科学院</w:t>
            </w:r>
          </w:p>
        </w:tc>
        <w:tc>
          <w:tcPr>
            <w:tcW w:w="2551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2552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</w:p>
        </w:tc>
      </w:tr>
    </w:tbl>
    <w:p>
      <w:pPr>
        <w:adjustRightInd w:val="0"/>
        <w:snapToGrid w:val="0"/>
        <w:spacing w:before="156" w:beforeLines="50" w:line="360" w:lineRule="auto"/>
        <w:jc w:val="left"/>
        <w:rPr>
          <w:rFonts w:ascii="仿宋_GB2312" w:hAnsi="仿宋_GB2312" w:eastAsia="仿宋_GB2312" w:cs="Times New Roman"/>
          <w:b/>
          <w:color w:val="000000"/>
          <w:sz w:val="28"/>
          <w:szCs w:val="32"/>
        </w:rPr>
      </w:pPr>
    </w:p>
    <w:sectPr>
      <w:footerReference r:id="rId3" w:type="default"/>
      <w:footerReference r:id="rId4" w:type="even"/>
      <w:pgSz w:w="11900" w:h="16840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等线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黑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 Light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DengXian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DengXian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DengXian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center" w:y="1"/>
      <w:rPr>
        <w:rStyle w:val="6"/>
        <w:rFonts w:ascii="Times New Roman" w:hAnsi="Times New Roman" w:cs="Times New Roman"/>
        <w:sz w:val="21"/>
      </w:rPr>
    </w:pPr>
    <w:r>
      <w:rPr>
        <w:rStyle w:val="6"/>
        <w:rFonts w:ascii="Times New Roman" w:hAnsi="Times New Roman" w:cs="Times New Roman"/>
        <w:sz w:val="21"/>
      </w:rPr>
      <w:fldChar w:fldCharType="begin"/>
    </w:r>
    <w:r>
      <w:rPr>
        <w:rStyle w:val="6"/>
        <w:rFonts w:ascii="Times New Roman" w:hAnsi="Times New Roman" w:cs="Times New Roman"/>
        <w:sz w:val="21"/>
      </w:rPr>
      <w:instrText xml:space="preserve">PAGE  </w:instrText>
    </w:r>
    <w:r>
      <w:rPr>
        <w:rStyle w:val="6"/>
        <w:rFonts w:ascii="Times New Roman" w:hAnsi="Times New Roman" w:cs="Times New Roman"/>
        <w:sz w:val="21"/>
      </w:rPr>
      <w:fldChar w:fldCharType="separate"/>
    </w:r>
    <w:r>
      <w:rPr>
        <w:rStyle w:val="6"/>
        <w:rFonts w:ascii="Times New Roman" w:hAnsi="Times New Roman" w:cs="Times New Roman"/>
        <w:sz w:val="21"/>
      </w:rPr>
      <w:t>1</w:t>
    </w:r>
    <w:r>
      <w:rPr>
        <w:rStyle w:val="6"/>
        <w:rFonts w:ascii="Times New Roman" w:hAnsi="Times New Roman" w:cs="Times New Roman"/>
        <w:sz w:val="21"/>
      </w:rPr>
      <w:fldChar w:fldCharType="end"/>
    </w:r>
  </w:p>
  <w:p>
    <w:pPr>
      <w:pStyle w:val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center" w:y="1"/>
      <w:rPr>
        <w:rStyle w:val="6"/>
      </w:rPr>
    </w:pPr>
    <w:r>
      <w:rPr>
        <w:rStyle w:val="6"/>
      </w:rPr>
      <w:fldChar w:fldCharType="begin"/>
    </w:r>
    <w:r>
      <w:rPr>
        <w:rStyle w:val="6"/>
      </w:rPr>
      <w:instrText xml:space="preserve">PAGE  </w:instrText>
    </w:r>
    <w:r>
      <w:rPr>
        <w:rStyle w:val="6"/>
      </w:rPr>
      <w:fldChar w:fldCharType="end"/>
    </w:r>
  </w:p>
  <w:p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bordersDoNotSurroundHeader w:val="1"/>
  <w:bordersDoNotSurroundFooter w:val="1"/>
  <w:hideSpellingErrors/>
  <w:hideGrammaticalErrors/>
  <w:documentProtection w:enforcement="0"/>
  <w:defaultTabStop w:val="420"/>
  <w:drawingGridVerticalSpacing w:val="20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2791F"/>
    <w:rsid w:val="00016013"/>
    <w:rsid w:val="000261B8"/>
    <w:rsid w:val="000868CD"/>
    <w:rsid w:val="000F44EE"/>
    <w:rsid w:val="000F4C5A"/>
    <w:rsid w:val="001B1CE3"/>
    <w:rsid w:val="00257A40"/>
    <w:rsid w:val="00283485"/>
    <w:rsid w:val="00293562"/>
    <w:rsid w:val="003759AD"/>
    <w:rsid w:val="0038623C"/>
    <w:rsid w:val="003D6B47"/>
    <w:rsid w:val="003E4D50"/>
    <w:rsid w:val="00404206"/>
    <w:rsid w:val="0041525A"/>
    <w:rsid w:val="00487920"/>
    <w:rsid w:val="004D5B6D"/>
    <w:rsid w:val="00506459"/>
    <w:rsid w:val="005A075D"/>
    <w:rsid w:val="005C7E87"/>
    <w:rsid w:val="005F115A"/>
    <w:rsid w:val="006122B7"/>
    <w:rsid w:val="00623B2D"/>
    <w:rsid w:val="00696E9E"/>
    <w:rsid w:val="006B4736"/>
    <w:rsid w:val="0070606C"/>
    <w:rsid w:val="00707DE9"/>
    <w:rsid w:val="007172F1"/>
    <w:rsid w:val="0082791F"/>
    <w:rsid w:val="00890C88"/>
    <w:rsid w:val="008E25DF"/>
    <w:rsid w:val="0093647A"/>
    <w:rsid w:val="00981307"/>
    <w:rsid w:val="009B1525"/>
    <w:rsid w:val="00A042D4"/>
    <w:rsid w:val="00A122CA"/>
    <w:rsid w:val="00A70067"/>
    <w:rsid w:val="00A87A45"/>
    <w:rsid w:val="00AB1BC5"/>
    <w:rsid w:val="00AB439D"/>
    <w:rsid w:val="00B41301"/>
    <w:rsid w:val="00B4580B"/>
    <w:rsid w:val="00BE571F"/>
    <w:rsid w:val="00C70229"/>
    <w:rsid w:val="00CB3CEC"/>
    <w:rsid w:val="00D95EAE"/>
    <w:rsid w:val="00DA3A6D"/>
    <w:rsid w:val="00DA5B56"/>
    <w:rsid w:val="00E151C3"/>
    <w:rsid w:val="00EA795D"/>
    <w:rsid w:val="00ED57B5"/>
    <w:rsid w:val="00F33D94"/>
    <w:rsid w:val="00F70C6D"/>
    <w:rsid w:val="00F7644D"/>
    <w:rsid w:val="00F8653F"/>
    <w:rsid w:val="00FD640E"/>
    <w:rsid w:val="00FF5BE3"/>
    <w:rsid w:val="235F634F"/>
    <w:rsid w:val="5E5E4426"/>
    <w:rsid w:val="732F40BF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nhideWhenUsed="0" w:uiPriority="99" w:semiHidden="0" w:name="Table Web 3"/>
    <w:lsdException w:uiPriority="99" w:name="Balloon Text"/>
    <w:lsdException w:qFormat="1" w:unhideWhenUsed="0" w:uiPriority="39" w:semiHidden="0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4"/>
      <w:szCs w:val="24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7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2"/>
    <w:unhideWhenUsed/>
    <w:qFormat/>
    <w:uiPriority w:val="99"/>
    <w:pPr>
      <w:ind w:left="100" w:leftChars="2500"/>
    </w:p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page number"/>
    <w:basedOn w:val="5"/>
    <w:unhideWhenUsed/>
    <w:qFormat/>
    <w:uiPriority w:val="99"/>
  </w:style>
  <w:style w:type="table" w:styleId="8">
    <w:name w:val="Table Grid"/>
    <w:basedOn w:val="7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customStyle="1" w:styleId="9">
    <w:name w:val="页眉 字符"/>
    <w:basedOn w:val="5"/>
    <w:link w:val="4"/>
    <w:uiPriority w:val="99"/>
    <w:rPr>
      <w:sz w:val="18"/>
      <w:szCs w:val="18"/>
    </w:rPr>
  </w:style>
  <w:style w:type="character" w:customStyle="1" w:styleId="10">
    <w:name w:val="页脚 字符"/>
    <w:basedOn w:val="5"/>
    <w:link w:val="3"/>
    <w:qFormat/>
    <w:uiPriority w:val="99"/>
    <w:rPr>
      <w:sz w:val="18"/>
      <w:szCs w:val="18"/>
    </w:rPr>
  </w:style>
  <w:style w:type="paragraph" w:customStyle="1" w:styleId="11">
    <w:name w:val="List Paragraph"/>
    <w:basedOn w:val="1"/>
    <w:qFormat/>
    <w:uiPriority w:val="34"/>
    <w:pPr>
      <w:ind w:firstLine="420" w:firstLineChars="200"/>
    </w:pPr>
  </w:style>
  <w:style w:type="character" w:customStyle="1" w:styleId="12">
    <w:name w:val="日期 字符"/>
    <w:basedOn w:val="5"/>
    <w:link w:val="2"/>
    <w:semiHidden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DengXian Light"/>
        <a:ea typeface="黑体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DengXian"/>
        <a:ea typeface="宋体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210</Words>
  <Characters>1202</Characters>
  <Lines>10</Lines>
  <Paragraphs>2</Paragraphs>
  <ScaleCrop>false</ScaleCrop>
  <LinksUpToDate>false</LinksUpToDate>
  <CharactersWithSpaces>1410</CharactersWithSpaces>
  <Application>WPS Office_10.1.0.5777_F1E327BC-269C-435d-A152-05C5408002CA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2016-07-12T01:31:00Z</dcterms:created>
  <dc:creator>俞宁</dc:creator>
  <cp:lastModifiedBy>dell</cp:lastModifiedBy>
  <dcterms:modified xsi:type="dcterms:W3CDTF">2016-07-18T03:35:45Z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2052-10.1.0.5777</vt:lpwstr>
  </property>
</Properties>
</file>